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E9" w:rsidRDefault="000039E9" w:rsidP="000039E9">
      <w:pPr>
        <w:shd w:val="clear" w:color="auto" w:fill="FFFFFF"/>
        <w:spacing w:line="288" w:lineRule="atLeast"/>
        <w:contextualSpacing/>
        <w:jc w:val="center"/>
        <w:rPr>
          <w:b/>
          <w:bCs/>
          <w:color w:val="333333"/>
          <w:sz w:val="43"/>
          <w:szCs w:val="43"/>
        </w:rPr>
      </w:pPr>
      <w:r>
        <w:rPr>
          <w:b/>
          <w:bCs/>
          <w:color w:val="333333"/>
          <w:sz w:val="43"/>
          <w:szCs w:val="43"/>
        </w:rPr>
        <w:t>John Public</w:t>
      </w:r>
    </w:p>
    <w:p w:rsidR="000039E9" w:rsidRDefault="000039E9" w:rsidP="000039E9">
      <w:pPr>
        <w:shd w:val="clear" w:color="auto" w:fill="FFFFFF"/>
        <w:spacing w:line="288" w:lineRule="atLeast"/>
        <w:contextualSpacing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123 Main Street, San Francisco, CA 94122</w:t>
      </w:r>
      <w:r>
        <w:rPr>
          <w:color w:val="333333"/>
          <w:sz w:val="18"/>
          <w:szCs w:val="18"/>
        </w:rPr>
        <w:br/>
      </w:r>
      <w:proofErr w:type="gramStart"/>
      <w:r>
        <w:rPr>
          <w:color w:val="333333"/>
          <w:sz w:val="18"/>
          <w:szCs w:val="18"/>
        </w:rPr>
        <w:t>Home :</w:t>
      </w:r>
      <w:proofErr w:type="gramEnd"/>
      <w:r>
        <w:rPr>
          <w:color w:val="333333"/>
          <w:sz w:val="18"/>
          <w:szCs w:val="18"/>
        </w:rPr>
        <w:t xml:space="preserve"> 000-000-0000 Cell: 000-000-0000</w:t>
      </w:r>
      <w:r>
        <w:rPr>
          <w:color w:val="333333"/>
          <w:sz w:val="18"/>
          <w:szCs w:val="18"/>
        </w:rPr>
        <w:br/>
        <w:t>email@example.com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Professional Summary</w:t>
      </w:r>
    </w:p>
    <w:p w:rsidR="000039E9" w:rsidRDefault="000039E9" w:rsidP="000039E9">
      <w:pPr>
        <w:pStyle w:val="NormalWeb"/>
        <w:shd w:val="clear" w:color="auto" w:fill="FFFFFF"/>
        <w:spacing w:before="0" w:beforeAutospacing="0" w:after="0" w:afterAutospacing="0" w:line="288" w:lineRule="atLeast"/>
        <w:contextualSpacing/>
        <w:rPr>
          <w:color w:val="333333"/>
          <w:sz w:val="18"/>
          <w:szCs w:val="18"/>
        </w:rPr>
      </w:pPr>
    </w:p>
    <w:p w:rsidR="000039E9" w:rsidRDefault="000039E9" w:rsidP="000039E9">
      <w:pPr>
        <w:pStyle w:val="NormalWeb"/>
        <w:shd w:val="clear" w:color="auto" w:fill="FFFFFF"/>
        <w:spacing w:before="0" w:beforeAutospacing="0" w:after="0" w:afterAutospacing="0" w:line="288" w:lineRule="atLeast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Experienced Healthcare Analyst that accepts the responsibility to support both external clients and internal </w:t>
      </w:r>
      <w:proofErr w:type="spellStart"/>
      <w:r>
        <w:rPr>
          <w:color w:val="333333"/>
          <w:sz w:val="18"/>
          <w:szCs w:val="18"/>
        </w:rPr>
        <w:t>management.Broad</w:t>
      </w:r>
      <w:proofErr w:type="spellEnd"/>
      <w:r>
        <w:rPr>
          <w:color w:val="333333"/>
          <w:sz w:val="18"/>
          <w:szCs w:val="18"/>
        </w:rPr>
        <w:t xml:space="preserve"> understanding of healthcare data like claims, clinical data, quality metrics and health </w:t>
      </w:r>
      <w:proofErr w:type="spellStart"/>
      <w:r>
        <w:rPr>
          <w:color w:val="333333"/>
          <w:sz w:val="18"/>
          <w:szCs w:val="18"/>
        </w:rPr>
        <w:t>outcomes.Capable</w:t>
      </w:r>
      <w:proofErr w:type="spellEnd"/>
      <w:r>
        <w:rPr>
          <w:color w:val="333333"/>
          <w:sz w:val="18"/>
          <w:szCs w:val="18"/>
        </w:rPr>
        <w:t xml:space="preserve"> of analyzing problems and designing recommendations including workflows, processes and procedures.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Core Qualifications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Current with changes in healthcare due to the Affordable Care Act</w:t>
      </w: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Experienced with SAS, MS Access and COGNOS</w:t>
      </w: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Summarization of numerical data</w:t>
      </w: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Timely completion of work</w:t>
      </w: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Exceptional written and oral communication</w:t>
      </w: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Internal and external presentations</w:t>
      </w:r>
    </w:p>
    <w:p w:rsidR="000039E9" w:rsidRDefault="000039E9" w:rsidP="000039E9">
      <w:pPr>
        <w:numPr>
          <w:ilvl w:val="0"/>
          <w:numId w:val="1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Support the development of project deliverables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Experience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color w:val="333333"/>
          <w:sz w:val="18"/>
          <w:szCs w:val="18"/>
        </w:rPr>
      </w:pPr>
    </w:p>
    <w:p w:rsidR="000039E9" w:rsidRDefault="000039E9" w:rsidP="000039E9">
      <w:pPr>
        <w:shd w:val="clear" w:color="auto" w:fill="FFFFFF"/>
        <w:spacing w:line="288" w:lineRule="atLeast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February 2008 to August 2014 Briarwood Health Strategies, New Parkland CA Healthcare Analyst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color w:val="333333"/>
          <w:sz w:val="18"/>
          <w:szCs w:val="18"/>
        </w:rPr>
      </w:pP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Provided data analysis from both within and outside of department.</w:t>
      </w: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Developed reports, interactive dashboards and internal procedures.</w:t>
      </w: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Supported multiple internal levels of management in the evaluation of initiatives.</w:t>
      </w: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Maximized effectiveness of analysis, programming and reporting.</w:t>
      </w: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Prepared executive level presentations for management and clients.</w:t>
      </w: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Coordinated client and provider focused health services research.</w:t>
      </w:r>
    </w:p>
    <w:p w:rsidR="000039E9" w:rsidRDefault="000039E9" w:rsidP="000039E9">
      <w:pPr>
        <w:numPr>
          <w:ilvl w:val="0"/>
          <w:numId w:val="2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Worked with clients to recommend appropriate training and scheduling as systems were deployed.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July 2000 to January 2008 Green Cross Healthcare Services, Cleveland OH Healthcare Analyst</w:t>
      </w:r>
    </w:p>
    <w:p w:rsidR="000039E9" w:rsidRDefault="000039E9" w:rsidP="000039E9">
      <w:pPr>
        <w:numPr>
          <w:ilvl w:val="0"/>
          <w:numId w:val="3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Provided project management and team leadership.</w:t>
      </w:r>
    </w:p>
    <w:p w:rsidR="000039E9" w:rsidRDefault="000039E9" w:rsidP="000039E9">
      <w:pPr>
        <w:numPr>
          <w:ilvl w:val="0"/>
          <w:numId w:val="3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Provided guidance for the structuring of programming requests.</w:t>
      </w:r>
    </w:p>
    <w:p w:rsidR="000039E9" w:rsidRDefault="000039E9" w:rsidP="000039E9">
      <w:pPr>
        <w:numPr>
          <w:ilvl w:val="0"/>
          <w:numId w:val="3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Created data sets for analysis using database and analytic tools.</w:t>
      </w:r>
    </w:p>
    <w:p w:rsidR="000039E9" w:rsidRDefault="000039E9" w:rsidP="000039E9">
      <w:pPr>
        <w:numPr>
          <w:ilvl w:val="0"/>
          <w:numId w:val="3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Presented data and information to achieve business goals.</w:t>
      </w:r>
    </w:p>
    <w:p w:rsidR="000039E9" w:rsidRDefault="000039E9" w:rsidP="000039E9">
      <w:pPr>
        <w:numPr>
          <w:ilvl w:val="0"/>
          <w:numId w:val="3"/>
        </w:numPr>
        <w:shd w:val="clear" w:color="auto" w:fill="FFFFFF"/>
        <w:spacing w:line="288" w:lineRule="atLeast"/>
        <w:ind w:left="225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Identified risks and communicated possible solutions.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Education</w:t>
      </w:r>
    </w:p>
    <w:p w:rsidR="000039E9" w:rsidRDefault="000039E9" w:rsidP="000039E9">
      <w:pPr>
        <w:shd w:val="clear" w:color="auto" w:fill="FFFFFF"/>
        <w:spacing w:line="288" w:lineRule="atLeast"/>
        <w:contextualSpacing/>
        <w:rPr>
          <w:b/>
          <w:bCs/>
          <w:color w:val="333333"/>
          <w:sz w:val="22"/>
          <w:szCs w:val="22"/>
        </w:rPr>
      </w:pPr>
      <w:bookmarkStart w:id="0" w:name="_GoBack"/>
      <w:bookmarkEnd w:id="0"/>
    </w:p>
    <w:p w:rsidR="000039E9" w:rsidRDefault="000039E9" w:rsidP="000039E9">
      <w:pPr>
        <w:shd w:val="clear" w:color="auto" w:fill="FFFFFF"/>
        <w:spacing w:line="288" w:lineRule="atLeast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2003 Case Western Reserve University, Cleveland OH Master of Science, Information Management2000 Cleveland State University, Cleveland OH </w:t>
      </w:r>
      <w:proofErr w:type="spellStart"/>
      <w:r>
        <w:rPr>
          <w:color w:val="333333"/>
          <w:sz w:val="18"/>
          <w:szCs w:val="18"/>
        </w:rPr>
        <w:t>Bachelor's</w:t>
      </w:r>
      <w:proofErr w:type="spellEnd"/>
      <w:r>
        <w:rPr>
          <w:color w:val="333333"/>
          <w:sz w:val="18"/>
          <w:szCs w:val="18"/>
        </w:rPr>
        <w:t xml:space="preserve"> of Science, Healthcare Administration</w:t>
      </w:r>
    </w:p>
    <w:p w:rsidR="000106B4" w:rsidRDefault="000106B4" w:rsidP="000039E9">
      <w:pPr>
        <w:contextualSpacing/>
      </w:pPr>
    </w:p>
    <w:sectPr w:rsidR="0001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0EB5"/>
    <w:multiLevelType w:val="multilevel"/>
    <w:tmpl w:val="B0B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D202AE"/>
    <w:multiLevelType w:val="multilevel"/>
    <w:tmpl w:val="DEA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D815EE"/>
    <w:multiLevelType w:val="multilevel"/>
    <w:tmpl w:val="F68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9"/>
    <w:rsid w:val="000039E9"/>
    <w:rsid w:val="0001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BD2A8-4DF5-4F0D-AB4C-8C18DB8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2015-10-09T04:41:00Z</dcterms:created>
  <dcterms:modified xsi:type="dcterms:W3CDTF">2015-10-09T04:42:00Z</dcterms:modified>
</cp:coreProperties>
</file>